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A11E" w14:textId="77777777" w:rsidR="009A2559" w:rsidRPr="009A2559" w:rsidRDefault="009A2559" w:rsidP="009A2559">
      <w:pPr>
        <w:spacing w:after="200" w:line="276" w:lineRule="auto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  <w:r w:rsidRPr="009A2559">
        <w:rPr>
          <w:rFonts w:ascii="Aptos" w:eastAsia="Times New Roman" w:hAnsi="Aptos" w:cs="Arial"/>
          <w:b/>
          <w:bCs/>
          <w:kern w:val="0"/>
          <w:sz w:val="28"/>
          <w:szCs w:val="28"/>
          <w14:ligatures w14:val="none"/>
        </w:rPr>
        <w:t xml:space="preserve">5. Appendix – Svenska Neurologföreningens specificerade delmål inom neurologi </w:t>
      </w:r>
    </w:p>
    <w:p w14:paraId="074BF5E3" w14:textId="77777777" w:rsidR="009A2559" w:rsidRPr="009A2559" w:rsidRDefault="009A2559" w:rsidP="009A2559">
      <w:pPr>
        <w:spacing w:after="200" w:line="276" w:lineRule="auto"/>
        <w:rPr>
          <w:rFonts w:ascii="Aptos" w:eastAsia="Times New Roman" w:hAnsi="Aptos" w:cs="Arial"/>
          <w:kern w:val="0"/>
          <w:sz w:val="22"/>
          <w:szCs w:val="22"/>
          <w14:ligatures w14:val="none"/>
        </w:rPr>
      </w:pPr>
      <w:r w:rsidRPr="009A2559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Denna bilaga syftar till att fungera som ett fortlöpande stöd för ST-läkaren samt dess handledare och studierektor under utbildningen. Bilagan kan användas i samband med handledarsamtalen för avstämning om hur långt man som ST-läkare kommit avseende måluppfyllelse av ST-utbildningen, rikta självstudier samt inför ansökan om specialistbevis. </w:t>
      </w:r>
    </w:p>
    <w:p w14:paraId="0824ADDB" w14:textId="77777777" w:rsidR="009A2559" w:rsidRPr="009A2559" w:rsidRDefault="009A2559" w:rsidP="009A2559">
      <w:pPr>
        <w:shd w:val="clear" w:color="auto" w:fill="FFFFFF"/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</w:pPr>
      <w:r w:rsidRPr="009A2559"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  <w:t xml:space="preserve">Delmålen har sammanställts av Svenska Neurologföreningen med utgångspunkt från Specific learning objectives in neurology som ingår i European Training Requirements for Neurology, framtaget av UEMS-SN (neurologsektionen tillhörande European Union of Medical Specialists) i samråd med European Association of Neurology (EAN). </w:t>
      </w:r>
    </w:p>
    <w:p w14:paraId="022E5A5E" w14:textId="77777777" w:rsidR="009A2559" w:rsidRPr="009A2559" w:rsidRDefault="009A2559" w:rsidP="009A2559">
      <w:pPr>
        <w:shd w:val="clear" w:color="auto" w:fill="FFFFFF"/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</w:pPr>
      <w:r w:rsidRPr="009A2559"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  <w:t xml:space="preserve">Dokumentet har granskats av samtliga av de svenska specialistsällskapen inom neurologi och följer ordningen för Socialstyrelsens delmål för specialisttjänstgöring i neurologi, som är bindande. Som tillägg finns specifika delmål för sömnstörningar, smärta och ryggmärgssjukdomar som berörs av flera av Socialstyrelsens delmål. </w:t>
      </w:r>
    </w:p>
    <w:p w14:paraId="474D7747" w14:textId="77777777" w:rsidR="009A2559" w:rsidRPr="009A2559" w:rsidRDefault="009A2559" w:rsidP="009A2559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</w:pPr>
      <w:r w:rsidRPr="009A2559">
        <w:rPr>
          <w:rFonts w:ascii="Aptos" w:eastAsia="Times New Roman" w:hAnsi="Aptos" w:cs="Times New Roman"/>
          <w:kern w:val="0"/>
          <w:sz w:val="22"/>
          <w:szCs w:val="22"/>
          <w:lang w:eastAsia="sv-SE"/>
          <w14:ligatures w14:val="none"/>
        </w:rPr>
        <w:t xml:space="preserve">Varje delmål har en nivåbestämning (1–3) enligt nedan: </w:t>
      </w:r>
    </w:p>
    <w:p w14:paraId="01E5C24E" w14:textId="77777777" w:rsidR="009A2559" w:rsidRPr="009A2559" w:rsidRDefault="009A2559" w:rsidP="009A2559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</w:pPr>
      <w:r w:rsidRPr="009A2559"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  <w:t>Har observerat eller har teoretisk kännedom om</w:t>
      </w:r>
    </w:p>
    <w:p w14:paraId="665BD6D7" w14:textId="77777777" w:rsidR="009A2559" w:rsidRPr="009A2559" w:rsidRDefault="009A2559" w:rsidP="009A2559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</w:pPr>
      <w:r w:rsidRPr="009A2559"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  <w:t>Kan handlägga med assistans eller har god teoretisk kännedom om</w:t>
      </w:r>
    </w:p>
    <w:p w14:paraId="6C4DF243" w14:textId="77777777" w:rsidR="009A2559" w:rsidRPr="009A2559" w:rsidRDefault="009A2559" w:rsidP="009A2559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</w:pPr>
      <w:r w:rsidRPr="009A2559">
        <w:rPr>
          <w:rFonts w:ascii="Aptos" w:eastAsia="Times New Roman" w:hAnsi="Aptos" w:cs="CenturyGothic-BoldItalic"/>
          <w:kern w:val="0"/>
          <w:sz w:val="22"/>
          <w:szCs w:val="22"/>
          <w14:ligatures w14:val="none"/>
        </w:rPr>
        <w:t xml:space="preserve">Kan självständigt behärska och handlägga </w:t>
      </w:r>
    </w:p>
    <w:p w14:paraId="0553E45D" w14:textId="77777777" w:rsidR="009A2559" w:rsidRPr="009A2559" w:rsidRDefault="009A2559" w:rsidP="009A2559">
      <w:pPr>
        <w:spacing w:line="276" w:lineRule="auto"/>
        <w:rPr>
          <w:rFonts w:ascii="Aptos" w:eastAsia="Calibri" w:hAnsi="Aptos" w:cs="Arial"/>
          <w:sz w:val="22"/>
          <w:szCs w:val="22"/>
        </w:rPr>
      </w:pPr>
      <w:r w:rsidRPr="009A2559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Dokumentet finns tillgängligt som digital redigerbar version och kommentarrutan är tänkt att kunna användas för att dokumentera genomfört delmål. </w:t>
      </w:r>
    </w:p>
    <w:p w14:paraId="7E6C662C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</w:p>
    <w:p w14:paraId="1F98B480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</w:p>
    <w:p w14:paraId="4051588F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</w:p>
    <w:p w14:paraId="0BBF396C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</w:p>
    <w:p w14:paraId="420AA50C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2D6A9BC5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6DE6A94F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44FA263F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4B9A241D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kern w:val="0"/>
          <w:sz w:val="20"/>
          <w:szCs w:val="20"/>
          <w:lang w:eastAsia="sv-SE"/>
          <w14:ligatures w14:val="none"/>
        </w:rPr>
      </w:pPr>
    </w:p>
    <w:p w14:paraId="73685595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04A8284C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421EA621" w14:textId="77777777" w:rsidR="009A2559" w:rsidRPr="009A2559" w:rsidRDefault="009A2559" w:rsidP="009A2559">
      <w:pPr>
        <w:shd w:val="clear" w:color="auto" w:fill="FFFFFF"/>
        <w:spacing w:after="80" w:line="317" w:lineRule="atLeast"/>
        <w:textAlignment w:val="baseline"/>
        <w:outlineLvl w:val="2"/>
        <w:rPr>
          <w:rFonts w:ascii="Aptos" w:eastAsia="Times New Roman" w:hAnsi="Aptos" w:cs="Arial"/>
          <w:i/>
          <w:iCs/>
          <w:kern w:val="0"/>
          <w:sz w:val="20"/>
          <w:szCs w:val="20"/>
          <w:lang w:eastAsia="sv-SE"/>
          <w14:ligatures w14:val="none"/>
        </w:rPr>
      </w:pPr>
    </w:p>
    <w:p w14:paraId="2CD81482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kern w:val="0"/>
          <w:sz w:val="20"/>
          <w:szCs w:val="20"/>
          <w14:ligatures w14:val="none"/>
        </w:rPr>
      </w:pPr>
    </w:p>
    <w:p w14:paraId="789794DE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kern w:val="0"/>
          <w:sz w:val="20"/>
          <w:szCs w:val="20"/>
          <w14:ligatures w14:val="none"/>
        </w:rPr>
      </w:pPr>
    </w:p>
    <w:p w14:paraId="6A36FA16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kern w:val="0"/>
          <w:sz w:val="20"/>
          <w:szCs w:val="20"/>
          <w14:ligatures w14:val="none"/>
        </w:rPr>
      </w:pPr>
    </w:p>
    <w:p w14:paraId="5A251E7E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kern w:val="0"/>
          <w:sz w:val="20"/>
          <w:szCs w:val="20"/>
          <w14:ligatures w14:val="none"/>
        </w:rPr>
      </w:pPr>
    </w:p>
    <w:p w14:paraId="5D0FB551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"/>
        <w:gridCol w:w="4916"/>
        <w:gridCol w:w="775"/>
        <w:gridCol w:w="885"/>
        <w:gridCol w:w="724"/>
        <w:gridCol w:w="1186"/>
      </w:tblGrid>
      <w:tr w:rsidR="009A2559" w:rsidRPr="009A2559" w14:paraId="7A8BC946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EABD3B2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STc1 </w:t>
            </w:r>
            <w:r w:rsidRPr="009A2559">
              <w:rPr>
                <w:rFonts w:ascii="Aptos" w:hAnsi="Aptos" w:cs="FuturaStd-Book"/>
                <w:color w:val="000000" w:themeColor="text1"/>
                <w:sz w:val="18"/>
                <w:szCs w:val="18"/>
              </w:rPr>
              <w:t>– Akuta och farliga skador och sjukdomar i nervsystemet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0E52363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18B70F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D7AACEB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6489BC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0C0CF51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FB568EE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D875EE2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Ökat intrakraniellt tryck, cerebralt perfusionstryck och CSF-tryck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D4FD79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B0DE33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D2936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6D381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DA07A3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8233211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944B7A7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Störd intracerebral metabolism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4656B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179642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04E6F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C1C882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13341E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407D6A6B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6686E01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Intracerebral hypoxi, hypo- och hyperkapni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F50DBC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C0B483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7DE3C4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BC130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3B3A3E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3673D12C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42C5CCE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Intracerebral hypotermi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F0F9D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BAC9C7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7FC784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B9DE6F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AB44216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DA276AF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CAFD4CA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Koma och medvetandestörning, skalor (RLS/GCS)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083329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43858D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0B6153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458B8B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30E221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05849DD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6169781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Cerebrovaskulär sjukdom och komplikationer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BBED8D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391E46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EF35E7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97CC7E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D22FBC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03DB9B9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B0AB5FD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Status epileptikus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F4853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3A6CAA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0B902F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B3B49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5FD8AA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2232BEF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A5953DA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Traumatisk hjärnskada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F2BED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E90267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B21177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F8F42A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711464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ABD6EDB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0528BE5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Obstruktiv hydrocefalus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CD9CD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06DD5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266286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428AA1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2DF931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CC23EE1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2F307D9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Akuta neuromuskulära tillstånd t ex Guillain Barré syndrom, myasten kris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080B59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4C3770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9BA9DE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748E75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9824FBC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61B2384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A2E34F9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Malign hypertermi, rhabdomyolys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9B3333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AC16B8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946CEA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72570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A1F4EA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739BA1C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CA5A3B4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Hypoxisk hjärnskada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8620E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9AA43E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3FC791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7BD743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7CAD1C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E19F247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  <w:t>1.11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47066CF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Hjärndödsdiagnostik och organdonation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724E4F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D6FF84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B945FA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62796A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6ADF25D8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0DBBCC27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"/>
        <w:gridCol w:w="4916"/>
        <w:gridCol w:w="775"/>
        <w:gridCol w:w="885"/>
        <w:gridCol w:w="724"/>
        <w:gridCol w:w="1186"/>
      </w:tblGrid>
      <w:tr w:rsidR="009A2559" w:rsidRPr="009A2559" w14:paraId="7E1128ED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893B13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lastRenderedPageBreak/>
              <w:t>STc2 – Epilepsi och övriga anfallssjukdomar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5503260F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74D7F094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1B354385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656C1291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704C68D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35C0DA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D84756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Differentialdiagnos av förstagångsanfall från provocerade anfall, synkope eller andra paroxysmala händelser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D98604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B38E8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86F334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D0FC02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D489829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E5E1E6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BC10E4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Adekvat utredning efter ett förstagångsanfall med hjälp av EKG, CT, MR, EEG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4E018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9E61C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E1ADEB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7E0271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F169BD0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502520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510ECF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ILAE klassifikation av anfall och epilepsisyndrom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55FC28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B7A0F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0A72CB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86AAA5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7BAC07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1642ED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B66A5E2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Anfallssemiologi och symtom från andra paroxysmala händelser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BF6A19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A243E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F1395C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D671C6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4FBC9E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2757B0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FFD9C6C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Utredning och behandling av nya oprovocerade anfall, fokal epilepsi samt idiopatisk generaliserad epilepsi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66D61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731128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0A1299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1C4C66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CE6F0F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A7ECD5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D98423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Utredning och behandling av svårklassificerad epilepsi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31406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D81669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849BC9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FD5ECB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765F5F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2B5F37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949F29F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Diagnos och handläggning av icke-epileptiska anfall inkl. funktionella / dissociativa anfall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EDA82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C59040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DFCB0A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210BE6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75940A2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D9A28E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E1FD87F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Diagnos och handläggning av synkope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6C14AE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63D77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14EA02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06254B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F57A9B6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611514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167129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Handläggning av fertila kvinnor med epilepsi (preventivmedel, graviditet, behandling, amning)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A41EF6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88DD4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39E283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5789E2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2B9BE87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11694C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A560164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Handläggning av epilepsi som inte svarar på behandling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080192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52572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AE6F0A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8AAFD0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748B90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ACEF16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00EA96C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Kirurgiska alternativ för epilepsi, patientselektion och utredning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8671E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9CC39F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AD9193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A9345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28CE847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BEF24D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0647FF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Status epileptikus, konvulsivt och icke-konvulsivt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8E850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892CE1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2F8183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2C534F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BBA376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2B7C6C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F50C79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Vanliga komorbiditeter och handläggning (depression, minnessvårigheter, intellektuell funktionsnedsättning)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05876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4295AC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18D747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ABACF9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3DA521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1EB838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322365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Genetisk testning för epilepsi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28BDFC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B14C14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6471DC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14F220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F4F3B8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98C48D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2.15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5D3766A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Epilepsi inom intensivvården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C72823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FFA83A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89940F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A5DE60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6DAC0D86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7C8FB933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59"/>
        <w:gridCol w:w="5429"/>
        <w:gridCol w:w="626"/>
        <w:gridCol w:w="626"/>
        <w:gridCol w:w="626"/>
        <w:gridCol w:w="1186"/>
      </w:tblGrid>
      <w:tr w:rsidR="009A2559" w:rsidRPr="009A2559" w14:paraId="34C486BE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0C0CC8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lastRenderedPageBreak/>
              <w:t>STc3 – Neurodegenerativa sjukdomar med speciell inriktning på rörelserubbningar, basalgangliesjukdomar och viktiga demenstillstånd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F73C37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1DA2D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6FBDA9B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6FE4C5F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591A4AE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27203A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B024B2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Hypokinetiska rörelsestörningar på grund av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20AB16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455F4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36578A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6D3095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6BB6563" w14:textId="77777777" w:rsidTr="009A255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60B8B39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8CEBE1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Parkinsons sjukdom, atypisk parkinsonism (Lewykroppsdemens, progressiv supranukleär pares, multisystematrofi, kortikobasal degeneration m.fl.)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5F331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5382F8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783578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4C0E26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8CDB7E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E2D4F1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B412F0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Hyperkinetiska rörelsesjukdomar 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EB6066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8211F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9CCADC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342DC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270C9C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5715467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63C9DB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Tremortillstånd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7A691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91D7BE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B26443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615191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25B3A8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6BFA584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E1A36A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Dystoni 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EAF4C7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614E95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B496BD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ABB669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D2A0E1E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30E1CD3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18ADEB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Korea, Huntingtons sjukdom och likartade tillstånd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790137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D477A0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21F2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363F7E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2ABB9B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616C6D6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7AD5CAA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Myoklonus 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0C8963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A3869A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1399D8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A5C516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F15914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31000DB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A1A67A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Tics (tics, Tourettes syndrom)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207C43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EFF5B8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682DC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B1FBC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94A3D9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9735EC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A080083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Restless legs syndrom, periodic limb movement disorder 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0883F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1BBADE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80AD3C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6B4BD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B4DAA7D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028CD2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854079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Ataxi (hereditär ataxi, förvärvad ataxi)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B440A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021898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1A6F7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74F7A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8FA62BE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D92820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8935A3A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Paroxysmal rörelsestörning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7F93D8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FB9874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B87B3F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0EF5D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B514EE2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8AAF5D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1A69C7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Stiff person syndrome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FCC526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82DBF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33E625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B4F468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584DF4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94C038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4301A3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Normaltryckshydrocefalus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469ED4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C13D1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652B72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E49851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CA4E53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577CD0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000DAD5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Definition av demens och mild kognitiv funktionsnedsättning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BD8090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E0123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42871D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EA35FF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70B886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CFB27A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A2D315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Vanliga neurodegenerativa sjukdomar som orsak till kognitiv funktionsnedsättning t.ex. Alzheimers sjukdom, frontallobsdemens, Lewykroppsdemens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2CAEA9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D9672B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FBC3B8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344F22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03CDF3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07CD26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F9FA07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Ovanliga orsaker till kognitiv funktionsnedsättning t.ex. Creutzfeldt Jakob sjukdom, posterior kortikal atrofi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9DC63A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6E7D6C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726A93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135990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989480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A4B040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AE5BD30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Vaskulär demens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A97829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17A0F3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2A6461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FDC828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00F5D6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29CB7C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142ACC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Andra orsaker till kognitiv funktionsnedsättning så som metabola eller endokrina sjukdomar, radioterapi, kemoterapi, tumör, psykiatri, substansmissbruk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5EB083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4A6E91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249F42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281DE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CFF8EF4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87F7E1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E14A58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Neuroradiologi vid kognitiva sjukdomar inkl. skalor t.ex. Fazekas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91FD55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548FAA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BC5609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166A7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B4FDC9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31C0F2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67EA701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Psykiatriska symtom och beteendestörningar vid demenssjukdomar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3D9CF0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E7BDD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669F46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9D13E4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EAB2ED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1CFB8F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8F8E49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Specifika biomarkörer för neurodegenerativa sjukdomar 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65E8B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39DA45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1B6CB7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A7711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D4F087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82FD42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3.16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DE9C56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Funktionell motorisk störning t.ex. tremor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C473BA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3C8BF9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76B3E6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846C06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0C0515D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63"/>
        <w:gridCol w:w="5019"/>
        <w:gridCol w:w="775"/>
        <w:gridCol w:w="885"/>
        <w:gridCol w:w="724"/>
        <w:gridCol w:w="1186"/>
      </w:tblGrid>
      <w:tr w:rsidR="009A2559" w:rsidRPr="009A2559" w14:paraId="2CEAB141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A24047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lastRenderedPageBreak/>
              <w:t>STc4 – Neuromuskulära sjukdomar och sjukdomar i det perifera nervsystemet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2CC32E2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EC8BFEC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677A6F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74C15BD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348AC0D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29EC9E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0B5759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Motorneuronsjukdom (amyotrofisk lateral skleros, primär lateral skleros, progressiv muskulär atrofi, spinal muskulär atrofi)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6D22A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1D76A1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00DAC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7AA1F9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3B473A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A14E1E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E2B470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Postpolio syndrom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51289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D8F208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6DF44F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6494F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93A88C4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CC6451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D5507E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Plexopatier (kompression, traumatisk, infektiöst, ärftlig, strålning, tumör, diabetesassocierad, idiopatisk)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1DEC0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0F3EB8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8A096D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3C7209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DE4940D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59D925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5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9048E04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Polyneuropatier (inflammatorisk, infektiös, metabol, toxisk, paraneoplastisk, idiopatisk, immunmedierad, ärftlig)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C90AF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1B5911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D8B515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BCE68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8771D1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1510637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0C443D7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Vanliga PNP t.ex. CMT1a, HNPP och ATTRv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6B5BC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ABF45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0C9D04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947F46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8E3857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0CA475E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5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C4C7B6F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Ovanliga PNP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D281A9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691788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C9090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C6BA69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6046B8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B83009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BB97D3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Mononeuropatier (kompression, traumatisk, infektiöst, ärftlig, strålning, tumör, diabetesassocierad, idiopatisk)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60565D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820F89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3EDB2F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F8709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FB836B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29D307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359480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Myastena syndrom (myastenia gravis, Lambert-Eatons syndrom, kongenital myasteni)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32E207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BA07E4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71925B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AC9832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DE51C12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9171CD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6BB07C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Myopatier (kanalopatier, ärftliga och förvärvade) och myositer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027222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8572F5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3BF839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527AB5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B6B927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972B4D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09118F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Muskeldystrofier t.ex. Duchenne, Beckers, dystrofia myotonica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787D2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E66E3F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44528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41F9A3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74C9F0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8DE7CF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50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A6D60E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Neurometabola tillstånd t.ex. MELAS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12C69B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FDFA65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1FCEE7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54E7C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717C9771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53CABF17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"/>
        <w:gridCol w:w="4916"/>
        <w:gridCol w:w="775"/>
        <w:gridCol w:w="885"/>
        <w:gridCol w:w="724"/>
        <w:gridCol w:w="1186"/>
      </w:tblGrid>
      <w:tr w:rsidR="009A2559" w:rsidRPr="009A2559" w14:paraId="6C734764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411A4B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lastRenderedPageBreak/>
              <w:t>STc5 – Inflammatoriska och demyeliniserande sjukdomar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3E874F1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7DB1C71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BDEDB3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F8BACDC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4D1693D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D86AE8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2E1695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Neuroradiologisk differentialdiagnostik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93570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B7F276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8183FB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5501A8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6CF5A29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632A76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04CDD6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Differentialdiagnostik utifrån CSF och andra laboratorieprov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FD6A13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7F4A5C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F88D6F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AC0F2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FE9DD5E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BC2B9C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85EBE52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Immunomodulerande och symtomatisk behandling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5B8294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51377C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6E807D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8142B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3F200F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9DE4C6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025923C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Multipel skleros (diagnostik, utredning och behandling)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C67F5F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B52F8F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926E50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42D967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D32661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61AC96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CAC986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 demyeliniserande encefalomyelit (ADEM)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5FA58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45DD40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E9CF6E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B9B3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3D31E77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183F5F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E80151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Neuromyelitis optika spektrum sjukdom (NMOSD)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2B6FA9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0B7381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EE77C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A770A4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574A1C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54483A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07CC33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MOG-associerad sjukdom (MOGAD)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59EB8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DAD45A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B55E69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97B2CD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92573A2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66F2F6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27B442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Neurosarkoidos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F2B16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28BEA5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AB1C6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B6D3F6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DD9CA4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CD1F04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CFCD41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CNS vaskulit (primär och sekundär)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A61B54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174116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CCB6CA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137E1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635047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7327C1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5.10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6CF0D91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Autoimmun encefalit och paraneoplastiska syndrom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4848A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17BB0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96EFA9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19181F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18D486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AF9AB7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5.11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732CFEB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Neurologiska manifestationer och biverkningar från immunoterapier t.ex. cancer, HIV och systemsjukdomar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35F10F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11A75C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240C0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EF75F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AAAFBD9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41EFEF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5.12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4292805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Funktionella sensorimotoriska störningar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9F1282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9F107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846FE5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698456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7C8C8A98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36ADF676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p w14:paraId="4AD4CF7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77"/>
        <w:gridCol w:w="5005"/>
        <w:gridCol w:w="775"/>
        <w:gridCol w:w="885"/>
        <w:gridCol w:w="724"/>
        <w:gridCol w:w="1186"/>
      </w:tblGrid>
      <w:tr w:rsidR="009A2559" w:rsidRPr="009A2559" w14:paraId="02F8F00C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128678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STc6 – Tumörer i nervsystemet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661817E1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45590647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0352AF15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hideMark/>
          </w:tcPr>
          <w:p w14:paraId="16137194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0D1DDD5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31DA61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379C73B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Senaste WHO klassifikationen av tumörer av centrala nervsystemet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31DCEB1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033498B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13D394E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37031A8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9A57D3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DC1888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49FA426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Neuroradiologisk differentialdiagnostik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4B68F80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14FF330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1D55664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7041068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0158CA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CC12B6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9AADD6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Behandlingsval (kirurgi, strålning, kemoterapi, stödjande behandling)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7AFC306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37D9A88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3423E77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60747E1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73F649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5C2804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1C0A6F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Primära intrakraniella tumörer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26D25D4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6F501BF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6F4DCA0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164BDBE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5DAAB4C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603AA0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59DF9F2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Intrakraniella metastaser inkl. leptomeningeala metastaser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788AB65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7C822A5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289FBD8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</w:tcPr>
          <w:p w14:paraId="133791A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A0DF08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0EA6C5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C4ADE0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Intrakraniella paraneoplastiska syndrom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5F34BAF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hideMark/>
          </w:tcPr>
          <w:p w14:paraId="04F64CE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77F147A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7E57D18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53D02AD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7408CA8E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77"/>
        <w:gridCol w:w="5005"/>
        <w:gridCol w:w="775"/>
        <w:gridCol w:w="885"/>
        <w:gridCol w:w="724"/>
        <w:gridCol w:w="1186"/>
      </w:tblGrid>
      <w:tr w:rsidR="009A2559" w:rsidRPr="009A2559" w14:paraId="5582E6C1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04F8FD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STc7 – Neurovaskulära sjukdomar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74EE8E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948C02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016047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AD76D25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64ED277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9DB4A7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CC379B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Ischemisk stroke på grund av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222135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04CB59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9E02D0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2CAC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55E361E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790F935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594304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Kardioembolism, tromboembolism, atheroskleros, småkärlssjukdom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10D966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14E8E4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DB53CD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CEC03E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B91580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7A4EF32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1D2888A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Arteriell dissektion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4CCF5A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F96B4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C963C1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A8B42E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AD8513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61EAD76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956D34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Vaskulit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2F509F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D8D00A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5F0D6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A917F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C40A36E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57AFAB6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94E755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CADASIL, Fabry, MELAS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1F860E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0AB212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24238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573884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824FFE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6CA61F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D1C301F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Diagnostisk utredning av strokepatienter (CT, MR, Doppler, kardiologi)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6ED95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95EFA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31685F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21F5C4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0CE3100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E7A9D3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0EDEBF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 ischemisk strokebehandling: Indikation för trombolys och trombektomi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283092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8034D9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1C453F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3D5EC1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1974C5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13AAB4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2C8F026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Intrakraniell blödning på grund av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1B1AE3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875F1C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FC8A80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E1B98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B2B456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1459108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7DB0FB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Hypertension, antikoagulation, tumör, aneurysm, sinustrombos, cerebral amyloidos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F693B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8D516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F77F32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7B7A46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779744E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6128AE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066F3B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Kirurgisk utrymning som hemikraniektomi, clips/coiling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8A097C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3ECC25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CE8F4F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09EA9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F2A65DD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96F98D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7.6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9468AE1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Reversering av antikoagulantia, återinsättning av antikoagulantia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4AA47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93608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4EC422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6B3149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AD1CD1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89283D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7D782B3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Primär och sekundär prevention vid stroke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1BDF97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017844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1394C1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E27E03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1B4A9C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DB5B1C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E72625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Encefalopatier (hypertensiv, PRES, post anoxisk)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33298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6CCE10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CE0CFB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78D459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28274B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AE1CF9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3E4E82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Funktionella sensorimotoriska störningar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AC2C5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B2CDFC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392235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862D49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01C4F58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7C0C6D2C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p w14:paraId="03C51A1D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63"/>
        <w:gridCol w:w="5019"/>
        <w:gridCol w:w="775"/>
        <w:gridCol w:w="885"/>
        <w:gridCol w:w="724"/>
        <w:gridCol w:w="1186"/>
      </w:tblGrid>
      <w:tr w:rsidR="009A2559" w:rsidRPr="009A2559" w14:paraId="4DA6E2A3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4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B878EF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STc8 – Neurotrauma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A83AD88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8A52F86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41CD77C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183858B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65FDD3D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651697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502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C47194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Hjärnskada (mild, måttlig, allvarlig)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A16A9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184279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5EF667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C3A5C8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A851E3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5B566C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5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B34C18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Komplikationer efter hjärnskada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1F20F3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E3EBEB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828725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B73BF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ABF823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FE524D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502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4C3CF9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Epidural, subdural, intracerebral blödning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6FF61C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577A5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CFD546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D9B52A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DC84DF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FF3BA9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5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449422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Skallbasfrakturer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7C17E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8ADE03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18096D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D28B58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26BE496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863BB7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502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51ADF87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Flexion-extensionstrauma av nacke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FE131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82F130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FAAE5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BFE360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9081E8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02D4F3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5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544F394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Trauma mot plexus och perifer nerv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141659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4E3DA4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439B00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220AE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2787CAEE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1F80D48B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"/>
        <w:gridCol w:w="4916"/>
        <w:gridCol w:w="775"/>
        <w:gridCol w:w="885"/>
        <w:gridCol w:w="724"/>
        <w:gridCol w:w="1186"/>
      </w:tblGrid>
      <w:tr w:rsidR="009A2559" w:rsidRPr="009A2559" w14:paraId="78999B0C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C66A84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STc9 – Huvudvärk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953303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76EA30D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A71EC2F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F7EA556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077CC78E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</w:tcPr>
          <w:p w14:paraId="37DE0E2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CD1AC22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Anamnes, klinisk utvärdering, klassifikation enligt International Classification of Headache Disorders samt akut och profylaktisk behandling av följande 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2C5768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C60311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149284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9B50E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0976BE2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900472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AB7C38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Migrän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6D593C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A93CCF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32A906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2F15D5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5F65B4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C12B8A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542F30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Spänningshuvudvärk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721FE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3E718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B97148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DFA4A0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8DD5B6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718E59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12BFB03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Trigeminoautonom huvudvärk inkl. klusterhuvudvärk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498E4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E46B7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CFAE7F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A158E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48811C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F08806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9.4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433685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Andra primära huvudvärkstyper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336481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478719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BA9D85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DE4EF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F68D20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</w:tcPr>
          <w:p w14:paraId="331ED40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0B947D1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Sekundära huvudvärkstyper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05020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2ABB7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8670C5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522BD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031EF4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34F8C6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DCAF88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Huvudvärk relaterad till trauma eller skada i huvud och/eller nackregion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EAE39F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CF1FB5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4501B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45EB42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F2E6054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6B4FF4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8B174F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Huvudvärk relaterat till vaskulär sjukdom t.ex. dissektion, vaskulit, subaraknoidalblödning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AE140D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80229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4BAAE3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BABE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E189B62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132364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E5931B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Huvudvärk vid infektion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D5E15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E33DED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6F7C19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CA39C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0EA049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10DC8A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8D6B403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Läkemedelsutlöst huvudvärk (MOH)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FC4A3A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C7A30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6C5F72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A80C3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B67ECF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CBE971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6B7AB8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Idiopatisk intrakraniell hypertension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F3BD67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9EB80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50755B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571020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F82EAD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CFA5D1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9.10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BD29015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Intrakraniell hypotension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7EE1CB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D177D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2EE821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026FA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3BFAEC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C78B77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9.11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E22227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Huvudvärk på akuten, diagnostik och behandling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914D2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74AB3A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7DAF49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5E7414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40F051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BA2249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9.12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663D76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Kranial neuralgi och ansiktssmärta inkl. trigeminusneuralgi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F4B7D2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0C5EB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B9A526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A57C43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2F43030C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38D8A5F9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655"/>
        <w:gridCol w:w="4827"/>
        <w:gridCol w:w="775"/>
        <w:gridCol w:w="885"/>
        <w:gridCol w:w="724"/>
        <w:gridCol w:w="1186"/>
      </w:tblGrid>
      <w:tr w:rsidR="009A2559" w:rsidRPr="009A2559" w14:paraId="37154258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A64074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STc10 – Infektioner i nervsystemet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A7886D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CD8A6B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E817DF2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8C98C3A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4848F15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59F096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139842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 och kronisk bakteriell meningoencefalit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90633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C3A85D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C2DD7D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5BF55B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F278DF9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15EE9E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13EFF5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Akut, kronisk och recidiv av viral meningoencefalit specifikt herpes simplex och varicella zoster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8D71CC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F76D1A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C56070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B59629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666346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3B7E6AD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BD67F37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 och kronisk parasitinfektion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EDB668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1F830B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71ABD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D9CBA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989EE7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9F668D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D216DE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  <w:t xml:space="preserve">Cerebral abscess och epi/subdural empyema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6830B2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50440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E4E2DA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83A8EE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A2559" w:rsidRPr="009A2559" w14:paraId="550FF0B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B8E394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  <w:t>10.5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A39124C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Myelit och spinal epidural och subdural empyem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A7FA07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D3C9BB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92DF60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3440F6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12FD2F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F92271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4F3A22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Radikuloneurit specifikt neuroborrelios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1A0C6D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F874E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9A8A89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65976D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621AFB2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2BE346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5ED8DB1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Neurotuberkulos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61883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9B328F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937E2D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0068B7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2CF17D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55E1A7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62A99D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Sexuellt överförbara sjukdomar inkl. HIV / AIDS, syfilis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B5D30B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12395C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D34F7D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413B33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5BEB0C8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DD2DBF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D4E51E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Tropiska CNS sjukdomar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0A9C2D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BA4B8D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953671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A7DC6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2CCA9C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F90DB4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10.10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339C90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Prionsjukdomar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E0EF6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24CF33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D1AA88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2BFCA9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89DAF4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099E85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10.11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B745D60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Sjukdomar orsakade av bakteriella toxiner (tetanus, botulism, difteri)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2F163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B7372B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704248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4F93CC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345A22D7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00F7691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59"/>
        <w:gridCol w:w="4923"/>
        <w:gridCol w:w="775"/>
        <w:gridCol w:w="885"/>
        <w:gridCol w:w="724"/>
        <w:gridCol w:w="1186"/>
      </w:tblGrid>
      <w:tr w:rsidR="009A2559" w:rsidRPr="009A2559" w14:paraId="2D9D13F1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E87B980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STc11 – Diagnostik och kompletterande undersökningsmetoder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7E4400A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A798B1F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3DB1166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6372BE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75AB5C7C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E12CD2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25551BF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Klinisk neurologisk undersökning (nervstatus, allmänt och riktat)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E2DDA8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025A4E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F349B7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03D2B1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29A3D4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A07EB5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CDD6BC3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Lumbalpunktion (indikation, utförande, risker)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57BDFE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C4A308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534BC6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32CA3F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C7C863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22E8A4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11.3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E7B1DB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Tolkning av blodprov och livkorundersökning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2F7BC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AC3EA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6ECAA2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49061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3CDD374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035B33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11.4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729FB08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Indikation för biopsi från nervsystemet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9053D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BEE766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41A9A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0157F9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39A3B45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A35B0C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8CB9F81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Neurogenetik; indikation, begränsningar och rådgivning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6B2F03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B5DAA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091F16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E6500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605840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EE0AE8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11.6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C93DFBC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Indikation för neuropatologisk undersökning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FFB0AB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CD6B2A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91400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653558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A617A12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CA69B7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11.7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EA61FE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Hjärndödsdiagnostik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22E9A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6AE53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3E758C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44905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1894EE1E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i/>
          <w:iCs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655"/>
        <w:gridCol w:w="4827"/>
        <w:gridCol w:w="775"/>
        <w:gridCol w:w="885"/>
        <w:gridCol w:w="724"/>
        <w:gridCol w:w="1186"/>
      </w:tblGrid>
      <w:tr w:rsidR="009A2559" w:rsidRPr="009A2559" w14:paraId="52763027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47FA5C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bookmarkStart w:id="0" w:name="_Hlk189815243"/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STc12 – Neurofysiologiska, neuroradiologiska, neuro-oftalmologiska, neuro-otologiska, neuro-urologiska, psykiatriska, neurorehabilitering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006A113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95E2614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BE78E61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D4DF329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655F4AFD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B22343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Neurofysiologi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A39F8F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D113DD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97F96E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CD4F1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EBF7ABE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3CCC9D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2690A1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Indikation för undersökning och tolkning av svar; EEG, video-EEG, neurografi, EMG, single-fibre EMG, evoked potentials, magnetstimulering, termotest, polysomnografi, multipelt sömnlatenstest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2B4CFE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D997A1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3ED604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49477A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96667C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2D4978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Neuroradiologi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0C5DAF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16E86D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83857D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48E127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F01554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8A7528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6159861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Indikation för undersökning och tolkning av svar; CT, MR, SPECT, PET, konventionell angiografi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836F7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582B3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77E573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E48CF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E8F81FC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1311AF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3E4934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Granskning av CT och MR för akut intervention vid vaskulära sjukdomar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2F3F0C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69C92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C55DCF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0AE8B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87A637E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27A8CE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27BF9D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Neuromuskulär avbildning (ultraljud, MR)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2CA65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0F62D6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F387B1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4D6334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9E5B56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A47A8C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A2373A7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Interventionell neuroradiologi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D18837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078561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38C168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495F9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A18E84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C6DAA3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Neuro-oftalmologi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2863B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685311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B8937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9FD6BA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bookmarkEnd w:id="0"/>
      </w:tr>
      <w:tr w:rsidR="009A2559" w:rsidRPr="009A2559" w14:paraId="6A8695A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8948FA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12.6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6574CDD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Optikusneurit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E2C7C4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BA94A6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898F0C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E597FB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913DCD3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8273A1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12.7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3EDA209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Optikusinfarkt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E6E06E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E0B27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FA2F0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4EA3C3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3A892E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A0B46E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12.8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DAB9A8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Andra optikusneuropatier t.ex. Lebers hereditära optikusneuropati, kompression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B54171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405C1D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BEA26B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DB99D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ECB148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518C00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12.9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18B75A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Ögonrörelsestörning pga. perifer och central störning, myopati och neuromuskulär transmissionsstörning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2E635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4A5ACE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2E667B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25BCD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AC395B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FE0036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12.10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FF0016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Bedömning av nystagmus, sackader inkl. dess orsaker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5739F7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FB9958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DA9910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2E0D5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5E683E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C5404D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12.11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E49B69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Bedömning av synfältspåverkan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EFAC6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1B6DA6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EE6084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D8314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2B2D0D1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75FD18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Neuro-otologi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1F4CA0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6F7670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C38546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80A001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D75757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101C6E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C396C9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Godartad lägesyrsel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2084F7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3DDB4A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B67CFB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897AA8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9506BE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E2895E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60B647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Bilateral vestibulopati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E19B66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B77FF8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59219D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F6DB8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E8AAE8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5D48A76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4A16F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Akut vestibulärt syndrom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060F78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305979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8946A2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B8045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8F6D674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957659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8E109D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Persisterande postural perceptuell yrsel (PPPY)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42D7D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B602EE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3F4F45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74DA66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39C805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08DE9B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F4C1FE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Vestibulär migrän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6715FA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670398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A5AD28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94BFFA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EE0279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5F36F8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0B630B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Menieres sjukdom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AE3694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14A78D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109FAB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6E3091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8E3C3DB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85CD30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C19A73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Akustikusschwannom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F2FB3E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414979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508D91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7E3C8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5F769D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4DD7BB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Psykiatri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E0803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2A46CB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EA958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A77EE2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3821EA0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FA42EA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12.19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89DA1F2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Psykiatrisk anamnes och status relevant för neurologi samt grundläggande suicidriskbedömning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25A7104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2AE97D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F03266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6E4684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2FFCA3E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1DDB2FE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12.20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128B66E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Psykiatriska sjukdomar (depression, ångest, psykos, bipolär sjukdom, personlighetsstörning, alkohol och annat missbruk, neuropsykiatriska tillstånd)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1EB730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0A9926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463AEE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F3A84A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946AFE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9FE82C5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12.21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3EB75AA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Användning av psykofarmaka; indikationer, kontraindikationer, biverkningar (särskilt neurologiska)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B0DDA2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D7679A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2709E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B4199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15946D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07D779B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Neuro-rehabilitering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065A69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6B5D14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829FDD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DFBD64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7EED37C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68FEFA5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8D6FF2D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Bedömning av funktionsnivå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B0828D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531331C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26A1E5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C1B21D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A2559" w:rsidRPr="009A2559" w14:paraId="17B0DE8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033F85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4CBEA1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Arbete i ett interdisciplinärt rehabiliteringsteam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DE05A2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2F0912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1FD0AA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38DF30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DB060B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7756E25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B3563D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Handläggning av spasticitet, gångstörning, kronisk smärta, neurogen blåsa och tarm, sexuell dysfunktion, kognitiv och beteendestörning, depression, sväljningssvårigheter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A44194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18AA16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E5E690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6F0C48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EA31D6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227AEEA6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122298C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Kontrakturprofylax, tryckssårsprevention, djupventrombosprofylax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6A0D87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39E448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B8828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675574D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E047D1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2AB0E8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759D173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Palliativ vård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BC4F24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D8F954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85E14C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C4F6C8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B133939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D40D99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Sömnstörningar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BE7583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2FBC8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35F4C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A110C5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7082231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2B8734D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D023287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Narkolepsi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85967D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F28F2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C6BC84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DEE38DC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1CF8E2C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E149C9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12.28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7C7870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Insomni, obstruktiv sömnapné, parasomni, REM sömnstörning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93BFE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B36E3A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3C76CF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4ACBCB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128DE67C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68CFD4E0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59"/>
        <w:gridCol w:w="4923"/>
        <w:gridCol w:w="775"/>
        <w:gridCol w:w="885"/>
        <w:gridCol w:w="724"/>
        <w:gridCol w:w="1186"/>
      </w:tblGrid>
      <w:tr w:rsidR="009A2559" w:rsidRPr="009A2559" w14:paraId="40E39436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hideMark/>
          </w:tcPr>
          <w:p w14:paraId="08267E34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STc13 – Läkemedelsbehandling inom specialiteten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C448C9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0293430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7C4083A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167C7D67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13645C9A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5B9B38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0285E89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Tillämpa en helhetssyn på patientens samlade läkemedelsbehandling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7BFA59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E4009B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9C0867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F47CC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51587468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C41462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13.2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3F2D2793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Anpassa läkemedelsbehandling utifrån enskilda patienters ålder, kön, vikt, njur- och leverfunktion samt andra eventuella faktorer, till exempel övrig medicinering, samsjuklighet, graviditet och amning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254115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E29EF67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9D2101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AC1369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3BBEBE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976980A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13.3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5B3A4CD" w14:textId="77777777" w:rsidR="009A2559" w:rsidRPr="009A2559" w:rsidRDefault="009A2559" w:rsidP="009A25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Kunna bedöma risker för biverkningar och interaktioner vid läkemedelsbehandling inom specialiteten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7C63F4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B75D1A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01F96F4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92ECEA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A5CB2AF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B554BE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13.4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24E31F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Beroende och tolerans av läkemedel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CDEAD8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5B4497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0726AC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07883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3D640C83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13FCF5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13.5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8015E4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Bedömning och behandling av smärttillstånd nociceptiv, allodyni, hyperalgesi, neuropatisk, nociplastisk)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78A62F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3039F22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CFCA96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3FC9EC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A267F1D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4240DDB9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13.6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D86DDC5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Diagnostisk användning av interventioner så som nervrotsblockader och neuromodulering t ex ryggmärgsstimulering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9F6A70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673B1C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F781C7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DEA21F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41E748C9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60E02B46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59"/>
        <w:gridCol w:w="4923"/>
        <w:gridCol w:w="775"/>
        <w:gridCol w:w="885"/>
        <w:gridCol w:w="724"/>
        <w:gridCol w:w="1186"/>
      </w:tblGrid>
      <w:tr w:rsidR="009A2559" w:rsidRPr="009A2559" w14:paraId="72F95332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hideMark/>
          </w:tcPr>
          <w:p w14:paraId="12E8F79F" w14:textId="77777777" w:rsidR="009A2559" w:rsidRPr="009A2559" w:rsidRDefault="009A2559" w:rsidP="009A2559">
            <w:pPr>
              <w:autoSpaceDE w:val="0"/>
              <w:autoSpaceDN w:val="0"/>
              <w:adjustRightInd w:val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STc14 – Lagar och författningar som är särskilt relevanta för specialiteten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E70446A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3FD4C16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75C9699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60A44AC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1064D647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1F9A7C3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491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1A5D4C2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Trafik- och körkortsmedicin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1DFE60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8956D0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0D45E74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E384967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606B9D76" w14:textId="77777777" w:rsidTr="009A2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</w:tcPr>
          <w:p w14:paraId="077D1DD0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65ED7AFE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294589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0174510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7C1571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F371D4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1B84A231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4A4F01F9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  <w:r w:rsidRPr="009A2559"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  <w:br w:type="page"/>
      </w:r>
    </w:p>
    <w:tbl>
      <w:tblPr>
        <w:tblStyle w:val="Listtabell5mrkdekorfrg11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"/>
        <w:gridCol w:w="4916"/>
        <w:gridCol w:w="775"/>
        <w:gridCol w:w="885"/>
        <w:gridCol w:w="724"/>
        <w:gridCol w:w="1186"/>
      </w:tblGrid>
      <w:tr w:rsidR="009A2559" w:rsidRPr="009A2559" w14:paraId="5DBF9756" w14:textId="77777777" w:rsidTr="009A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85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540B94E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Sjukdomar i ryggmärgen (inget specifikt STc-mål enligt Socialstyrelsen)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B5D68BE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1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9882BA6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7FF44FC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Nivå 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470674E7" w14:textId="77777777" w:rsidR="009A2559" w:rsidRPr="009A2559" w:rsidRDefault="009A2559" w:rsidP="009A2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Kommentar</w:t>
            </w:r>
          </w:p>
        </w:tc>
      </w:tr>
      <w:tr w:rsidR="009A2559" w:rsidRPr="009A2559" w14:paraId="5568480F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1A1D9AC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CC7AAA4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Kompression (cervikal spondylos med myelopati, traumatisk, infektiös)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2EA5A6E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39BE363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E6F13F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65EFEF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77936C22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1CA14ABB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2BCB542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Vaskulära problem (infarkt inkl. anteriorsyndromet, blödning, vaskulär malformation)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C82903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7E2CBAB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2AC427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057F169E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B780FA6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6DA85227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6D64A178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Spinal tumör inkl. leptomeningeal metastas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89369C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A4F15B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270126C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239B8E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72A5E56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7FD2BF2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15.4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68BB830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Syringomyeli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925B1AD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761E0213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784296F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A7BDD5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43734C4D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4F71C76F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AFCBE05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Vitaminbrist t.ex. B12, kopparbrist 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D12B7B5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21E7831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5F5B6A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E6E2AF8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FAE157A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39430881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5BAA113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Toxisk myelopati t ex lustgas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2663F28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35B122F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37D56E51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1F5D9B8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2080E080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47AB48C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15.7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226D46C9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Strålskada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5416476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48B7DBB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0757F1B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69A1769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0F7E6445" w14:textId="77777777" w:rsidTr="009A25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E2F3"/>
            <w:vAlign w:val="center"/>
            <w:hideMark/>
          </w:tcPr>
          <w:p w14:paraId="0B3161AD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15.8</w:t>
            </w:r>
          </w:p>
        </w:tc>
        <w:tc>
          <w:tcPr>
            <w:tcW w:w="4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007CCECB" w14:textId="77777777" w:rsidR="009A2559" w:rsidRPr="009A2559" w:rsidRDefault="009A2559" w:rsidP="009A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Paraneoplastisk myelopati </w:t>
            </w:r>
          </w:p>
        </w:tc>
        <w:tc>
          <w:tcPr>
            <w:tcW w:w="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4F15E3EA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15D55B42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351AAA59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5B05FB16" w14:textId="77777777" w:rsidR="009A2559" w:rsidRPr="009A2559" w:rsidRDefault="009A2559" w:rsidP="009A2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9A2559" w:rsidRPr="009A2559" w14:paraId="138AEB5B" w14:textId="77777777" w:rsidTr="009A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/>
            </w:tcBorders>
            <w:shd w:val="clear" w:color="auto" w:fill="D9E2F3"/>
            <w:vAlign w:val="center"/>
            <w:hideMark/>
          </w:tcPr>
          <w:p w14:paraId="7ED96668" w14:textId="77777777" w:rsidR="009A2559" w:rsidRPr="009A2559" w:rsidRDefault="009A2559" w:rsidP="009A2559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15.9</w:t>
            </w:r>
          </w:p>
        </w:tc>
        <w:tc>
          <w:tcPr>
            <w:tcW w:w="48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  <w:hideMark/>
          </w:tcPr>
          <w:p w14:paraId="753A9E96" w14:textId="77777777" w:rsidR="009A2559" w:rsidRPr="009A2559" w:rsidRDefault="009A2559" w:rsidP="009A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Transversell myelit (infektiöst, inflammatoriskt)</w:t>
            </w:r>
          </w:p>
        </w:tc>
        <w:tc>
          <w:tcPr>
            <w:tcW w:w="7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4E2D59A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6D29718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4B083"/>
            <w:vAlign w:val="center"/>
            <w:hideMark/>
          </w:tcPr>
          <w:p w14:paraId="69F60AAF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9A2559">
              <w:rPr>
                <w:rFonts w:ascii="Aptos" w:hAnsi="Apto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D9E2F3"/>
            <w:vAlign w:val="center"/>
          </w:tcPr>
          <w:p w14:paraId="1F04BB1C" w14:textId="77777777" w:rsidR="009A2559" w:rsidRPr="009A2559" w:rsidRDefault="009A2559" w:rsidP="009A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5373AECA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18056615" w14:textId="77777777" w:rsidR="009A2559" w:rsidRPr="009A2559" w:rsidRDefault="009A2559" w:rsidP="009A2559">
      <w:pPr>
        <w:spacing w:after="200" w:line="288" w:lineRule="auto"/>
        <w:rPr>
          <w:rFonts w:ascii="Aptos" w:eastAsia="Times New Roman" w:hAnsi="Aptos" w:cs="Arial"/>
          <w:color w:val="000000" w:themeColor="text1"/>
          <w:kern w:val="0"/>
          <w:sz w:val="18"/>
          <w:szCs w:val="18"/>
          <w14:ligatures w14:val="none"/>
        </w:rPr>
      </w:pPr>
    </w:p>
    <w:p w14:paraId="2170BA5C" w14:textId="0AFC4431" w:rsidR="00224100" w:rsidRPr="009A2559" w:rsidRDefault="00224100" w:rsidP="009A2559">
      <w:pPr>
        <w:spacing w:after="200" w:line="288" w:lineRule="auto"/>
        <w:rPr>
          <w:rFonts w:ascii="inherit" w:eastAsia="Times New Roman" w:hAnsi="inherit" w:cs="Arial"/>
          <w:i/>
          <w:iCs/>
          <w:color w:val="000000" w:themeColor="text1"/>
          <w:kern w:val="0"/>
          <w:lang w:eastAsia="sv-SE"/>
          <w14:ligatures w14:val="none"/>
        </w:rPr>
      </w:pPr>
    </w:p>
    <w:sectPr w:rsidR="00224100" w:rsidRPr="009A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30F1A"/>
    <w:multiLevelType w:val="hybridMultilevel"/>
    <w:tmpl w:val="60307124"/>
    <w:lvl w:ilvl="0" w:tplc="0F906C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4661">
    <w:abstractNumId w:val="0"/>
  </w:num>
  <w:num w:numId="2" w16cid:durableId="180318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59"/>
    <w:rsid w:val="00224100"/>
    <w:rsid w:val="006D765A"/>
    <w:rsid w:val="009A2559"/>
    <w:rsid w:val="00B02E34"/>
    <w:rsid w:val="00B60E15"/>
    <w:rsid w:val="00E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A4D"/>
  <w15:chartTrackingRefBased/>
  <w15:docId w15:val="{83823066-A77E-4501-BF52-944D82C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2559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7F340D" w:themeColor="accent2" w:themeShade="7F"/>
      <w:kern w:val="0"/>
      <w:sz w:val="22"/>
      <w:szCs w:val="22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2559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2559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2559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2559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2559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2559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BF4E14" w:themeColor="accent2" w:themeShade="BF"/>
      <w:kern w:val="0"/>
      <w:sz w:val="22"/>
      <w:szCs w:val="22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255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E97132" w:themeColor="accent2"/>
      <w:kern w:val="0"/>
      <w:sz w:val="22"/>
      <w:szCs w:val="22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255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97132" w:themeColor="accent2"/>
      <w:kern w:val="0"/>
      <w:sz w:val="20"/>
      <w:szCs w:val="2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isttabell5mrkdekorfrg1">
    <w:name w:val="List Table 5 Dark Accent 1"/>
    <w:basedOn w:val="Normaltabell"/>
    <w:uiPriority w:val="50"/>
    <w:rsid w:val="009A25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9A2559"/>
    <w:rPr>
      <w:rFonts w:asciiTheme="majorHAnsi" w:eastAsiaTheme="majorEastAsia" w:hAnsiTheme="majorHAnsi" w:cstheme="majorBidi"/>
      <w:b/>
      <w:bCs/>
      <w:i/>
      <w:iCs/>
      <w:color w:val="7F340D" w:themeColor="accent2" w:themeShade="7F"/>
      <w:kern w:val="0"/>
      <w:sz w:val="22"/>
      <w:szCs w:val="22"/>
      <w:shd w:val="clear" w:color="auto" w:fill="FAE2D5" w:themeFill="accent2" w:themeFillTint="33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2559"/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2559"/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2559"/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2559"/>
    <w:rPr>
      <w:rFonts w:asciiTheme="majorHAnsi" w:eastAsiaTheme="majorEastAsia" w:hAnsiTheme="majorHAnsi" w:cstheme="majorBidi"/>
      <w:b/>
      <w:bCs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2559"/>
    <w:rPr>
      <w:rFonts w:asciiTheme="majorHAnsi" w:eastAsiaTheme="majorEastAsia" w:hAnsiTheme="majorHAnsi" w:cstheme="majorBidi"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2559"/>
    <w:rPr>
      <w:rFonts w:asciiTheme="majorHAnsi" w:eastAsiaTheme="majorEastAsia" w:hAnsiTheme="majorHAnsi" w:cstheme="majorBidi"/>
      <w:i/>
      <w:iCs/>
      <w:color w:val="BF4E14" w:themeColor="accent2" w:themeShade="BF"/>
      <w:kern w:val="0"/>
      <w:sz w:val="22"/>
      <w:szCs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2559"/>
    <w:rPr>
      <w:rFonts w:asciiTheme="majorHAnsi" w:eastAsiaTheme="majorEastAsia" w:hAnsiTheme="majorHAnsi" w:cstheme="majorBidi"/>
      <w:i/>
      <w:iCs/>
      <w:color w:val="E97132" w:themeColor="accent2"/>
      <w:kern w:val="0"/>
      <w:sz w:val="22"/>
      <w:szCs w:val="22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2559"/>
    <w:rPr>
      <w:rFonts w:asciiTheme="majorHAnsi" w:eastAsiaTheme="majorEastAsia" w:hAnsiTheme="majorHAnsi" w:cstheme="majorBidi"/>
      <w:i/>
      <w:iCs/>
      <w:color w:val="E97132" w:themeColor="accent2"/>
      <w:kern w:val="0"/>
      <w:sz w:val="20"/>
      <w:szCs w:val="20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9A255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2559"/>
    <w:rPr>
      <w:color w:val="96607D" w:themeColor="followedHyperlink"/>
      <w:u w:val="single"/>
    </w:rPr>
  </w:style>
  <w:style w:type="character" w:styleId="Betoning">
    <w:name w:val="Emphasis"/>
    <w:uiPriority w:val="20"/>
    <w:qFormat/>
    <w:rsid w:val="009A2559"/>
    <w:rPr>
      <w:rFonts w:asciiTheme="majorHAnsi" w:eastAsiaTheme="majorEastAsia" w:hAnsiTheme="majorHAnsi" w:cstheme="majorBidi" w:hint="default"/>
      <w:b/>
      <w:bCs/>
      <w:i/>
      <w:iCs/>
      <w:color w:val="E97132" w:themeColor="accent2"/>
      <w:bdr w:val="single" w:sz="18" w:space="0" w:color="FAE2D5" w:themeColor="accent2" w:themeTint="33" w:frame="1"/>
      <w:shd w:val="clear" w:color="auto" w:fill="FAE2D5" w:themeFill="accent2" w:themeFillTint="33"/>
    </w:rPr>
  </w:style>
  <w:style w:type="character" w:styleId="Stark">
    <w:name w:val="Strong"/>
    <w:uiPriority w:val="22"/>
    <w:qFormat/>
    <w:rsid w:val="009A2559"/>
    <w:rPr>
      <w:b/>
      <w:bCs/>
      <w:spacing w:val="0"/>
    </w:rPr>
  </w:style>
  <w:style w:type="paragraph" w:customStyle="1" w:styleId="msonormal0">
    <w:name w:val="msonormal"/>
    <w:basedOn w:val="Normal"/>
    <w:uiPriority w:val="99"/>
    <w:rsid w:val="009A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9A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sv-SE"/>
      <w14:ligatures w14:val="non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2559"/>
    <w:pPr>
      <w:spacing w:after="200" w:line="240" w:lineRule="auto"/>
    </w:pPr>
    <w:rPr>
      <w:rFonts w:eastAsiaTheme="minorEastAsia"/>
      <w:i/>
      <w:iCs/>
      <w:kern w:val="0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2559"/>
    <w:rPr>
      <w:rFonts w:eastAsiaTheme="minorEastAsia"/>
      <w:i/>
      <w:iCs/>
      <w:kern w:val="0"/>
      <w14:ligatures w14:val="none"/>
    </w:rPr>
  </w:style>
  <w:style w:type="paragraph" w:styleId="Sidhuvud">
    <w:name w:val="header"/>
    <w:basedOn w:val="Normal"/>
    <w:link w:val="SidhuvudChar"/>
    <w:uiPriority w:val="99"/>
    <w:semiHidden/>
    <w:unhideWhenUsed/>
    <w:rsid w:val="009A255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A2559"/>
    <w:rPr>
      <w:rFonts w:eastAsiaTheme="minorEastAsia"/>
      <w:i/>
      <w:iCs/>
      <w:kern w:val="0"/>
      <w:sz w:val="20"/>
      <w:szCs w:val="20"/>
      <w14:ligatures w14:val="none"/>
    </w:rPr>
  </w:style>
  <w:style w:type="paragraph" w:styleId="Sidfot">
    <w:name w:val="footer"/>
    <w:basedOn w:val="Normal"/>
    <w:link w:val="SidfotChar"/>
    <w:uiPriority w:val="99"/>
    <w:semiHidden/>
    <w:unhideWhenUsed/>
    <w:rsid w:val="009A255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A2559"/>
    <w:rPr>
      <w:rFonts w:eastAsiaTheme="minorEastAsia"/>
      <w:i/>
      <w:iCs/>
      <w:kern w:val="0"/>
      <w:sz w:val="20"/>
      <w:szCs w:val="20"/>
      <w14:ligatures w14:val="non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A2559"/>
    <w:pPr>
      <w:spacing w:after="200" w:line="288" w:lineRule="auto"/>
    </w:pPr>
    <w:rPr>
      <w:rFonts w:eastAsiaTheme="minorEastAsia"/>
      <w:b/>
      <w:bCs/>
      <w:i/>
      <w:iCs/>
      <w:color w:val="BF4E14" w:themeColor="accent2" w:themeShade="BF"/>
      <w:kern w:val="0"/>
      <w:sz w:val="18"/>
      <w:szCs w:val="1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9A2559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A2559"/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shd w:val="clear" w:color="auto" w:fill="E97132" w:themeFill="accent2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2559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7F340D" w:themeColor="accent2" w:themeShade="7F"/>
      <w:kern w:val="0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2559"/>
    <w:rPr>
      <w:rFonts w:asciiTheme="majorHAnsi" w:eastAsiaTheme="majorEastAsia" w:hAnsiTheme="majorHAnsi" w:cstheme="majorBidi"/>
      <w:i/>
      <w:iCs/>
      <w:color w:val="7F340D" w:themeColor="accent2" w:themeShade="7F"/>
      <w:kern w:val="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255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2559"/>
    <w:rPr>
      <w:rFonts w:eastAsiaTheme="minorEastAsia"/>
      <w:b/>
      <w:bCs/>
      <w:i/>
      <w:iCs/>
      <w:kern w:val="0"/>
      <w:sz w:val="20"/>
      <w:szCs w:val="20"/>
      <w14:ligatures w14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2559"/>
    <w:pPr>
      <w:spacing w:after="0" w:line="240" w:lineRule="auto"/>
    </w:pPr>
    <w:rPr>
      <w:rFonts w:ascii="Times New Roman" w:eastAsiaTheme="minorEastAsia" w:hAnsi="Times New Roman" w:cs="Times New Roman"/>
      <w:i/>
      <w:iCs/>
      <w:kern w:val="0"/>
      <w:sz w:val="18"/>
      <w:szCs w:val="18"/>
      <w14:ligatures w14:val="non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2559"/>
    <w:rPr>
      <w:rFonts w:ascii="Times New Roman" w:eastAsiaTheme="minorEastAsia" w:hAnsi="Times New Roman" w:cs="Times New Roman"/>
      <w:i/>
      <w:iCs/>
      <w:kern w:val="0"/>
      <w:sz w:val="18"/>
      <w:szCs w:val="18"/>
      <w14:ligatures w14:val="none"/>
    </w:rPr>
  </w:style>
  <w:style w:type="paragraph" w:styleId="Ingetavstnd">
    <w:name w:val="No Spacing"/>
    <w:basedOn w:val="Normal"/>
    <w:uiPriority w:val="1"/>
    <w:qFormat/>
    <w:rsid w:val="009A2559"/>
    <w:pPr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Revision">
    <w:name w:val="Revision"/>
    <w:uiPriority w:val="99"/>
    <w:semiHidden/>
    <w:rsid w:val="009A2559"/>
    <w:pPr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Liststycke">
    <w:name w:val="List Paragraph"/>
    <w:basedOn w:val="Normal"/>
    <w:uiPriority w:val="34"/>
    <w:qFormat/>
    <w:rsid w:val="009A2559"/>
    <w:pPr>
      <w:spacing w:after="200" w:line="288" w:lineRule="auto"/>
      <w:ind w:left="720"/>
      <w:contextualSpacing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A2559"/>
    <w:pPr>
      <w:spacing w:after="200" w:line="288" w:lineRule="auto"/>
    </w:pPr>
    <w:rPr>
      <w:rFonts w:eastAsiaTheme="minorEastAsia"/>
      <w:color w:val="BF4E14" w:themeColor="accent2" w:themeShade="BF"/>
      <w:kern w:val="0"/>
      <w:sz w:val="20"/>
      <w:szCs w:val="20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9A2559"/>
    <w:rPr>
      <w:rFonts w:eastAsiaTheme="minorEastAsia"/>
      <w:color w:val="BF4E14" w:themeColor="accent2" w:themeShade="BF"/>
      <w:kern w:val="0"/>
      <w:sz w:val="20"/>
      <w:szCs w:val="20"/>
      <w14:ligatures w14:val="non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2559"/>
    <w:pPr>
      <w:pBdr>
        <w:top w:val="dotted" w:sz="8" w:space="10" w:color="E97132" w:themeColor="accent2"/>
        <w:bottom w:val="dotted" w:sz="8" w:space="10" w:color="E97132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97132" w:themeColor="accent2"/>
      <w:kern w:val="0"/>
      <w:sz w:val="20"/>
      <w:szCs w:val="20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2559"/>
    <w:rPr>
      <w:rFonts w:asciiTheme="majorHAnsi" w:eastAsiaTheme="majorEastAsia" w:hAnsiTheme="majorHAnsi" w:cstheme="majorBidi"/>
      <w:b/>
      <w:bCs/>
      <w:i/>
      <w:iCs/>
      <w:color w:val="E97132" w:themeColor="accent2"/>
      <w:kern w:val="0"/>
      <w:sz w:val="20"/>
      <w:szCs w:val="20"/>
      <w14:ligatures w14:val="non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A2559"/>
    <w:pPr>
      <w:outlineLvl w:val="9"/>
    </w:pPr>
  </w:style>
  <w:style w:type="paragraph" w:customStyle="1" w:styleId="paragraph">
    <w:name w:val="paragraph"/>
    <w:basedOn w:val="Normal"/>
    <w:uiPriority w:val="99"/>
    <w:rsid w:val="009A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sv-SE"/>
      <w14:ligatures w14:val="none"/>
    </w:rPr>
  </w:style>
  <w:style w:type="paragraph" w:customStyle="1" w:styleId="ingress">
    <w:name w:val="ingress"/>
    <w:basedOn w:val="Normal"/>
    <w:uiPriority w:val="99"/>
    <w:rsid w:val="009A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2559"/>
    <w:rPr>
      <w:sz w:val="18"/>
      <w:szCs w:val="18"/>
    </w:rPr>
  </w:style>
  <w:style w:type="character" w:styleId="Diskretbetoning">
    <w:name w:val="Subtle Emphasis"/>
    <w:uiPriority w:val="19"/>
    <w:qFormat/>
    <w:rsid w:val="009A2559"/>
    <w:rPr>
      <w:rFonts w:asciiTheme="majorHAnsi" w:eastAsiaTheme="majorEastAsia" w:hAnsiTheme="majorHAnsi" w:cstheme="majorBidi" w:hint="default"/>
      <w:i/>
      <w:iCs/>
      <w:color w:val="E97132" w:themeColor="accent2"/>
    </w:rPr>
  </w:style>
  <w:style w:type="character" w:styleId="Starkbetoning">
    <w:name w:val="Intense Emphasis"/>
    <w:uiPriority w:val="21"/>
    <w:qFormat/>
    <w:rsid w:val="009A2559"/>
    <w:rPr>
      <w:rFonts w:asciiTheme="majorHAnsi" w:eastAsiaTheme="majorEastAsia" w:hAnsiTheme="majorHAnsi" w:cstheme="majorBidi" w:hint="default"/>
      <w:b/>
      <w:bCs/>
      <w:i/>
      <w:iCs/>
      <w:strike w:val="0"/>
      <w:dstrike w:val="0"/>
      <w:color w:val="FFFFFF" w:themeColor="background1"/>
      <w:u w:val="none"/>
      <w:effect w:val="none"/>
      <w:bdr w:val="single" w:sz="18" w:space="0" w:color="E97132" w:themeColor="accent2" w:frame="1"/>
      <w:shd w:val="clear" w:color="auto" w:fill="E97132" w:themeFill="accent2"/>
      <w:vertAlign w:val="baseline"/>
    </w:rPr>
  </w:style>
  <w:style w:type="character" w:styleId="Diskretreferens">
    <w:name w:val="Subtle Reference"/>
    <w:uiPriority w:val="31"/>
    <w:qFormat/>
    <w:rsid w:val="009A2559"/>
    <w:rPr>
      <w:i/>
      <w:iCs/>
      <w:smallCaps/>
      <w:color w:val="E97132" w:themeColor="accent2"/>
      <w:u w:color="E97132" w:themeColor="accent2"/>
    </w:rPr>
  </w:style>
  <w:style w:type="character" w:styleId="Starkreferens">
    <w:name w:val="Intense Reference"/>
    <w:uiPriority w:val="32"/>
    <w:qFormat/>
    <w:rsid w:val="009A2559"/>
    <w:rPr>
      <w:b/>
      <w:bCs/>
      <w:i/>
      <w:iCs/>
      <w:smallCaps/>
      <w:color w:val="E97132" w:themeColor="accent2"/>
      <w:u w:color="E97132" w:themeColor="accent2"/>
    </w:rPr>
  </w:style>
  <w:style w:type="character" w:styleId="Bokenstitel">
    <w:name w:val="Book Title"/>
    <w:uiPriority w:val="33"/>
    <w:qFormat/>
    <w:rsid w:val="009A2559"/>
    <w:rPr>
      <w:rFonts w:asciiTheme="majorHAnsi" w:eastAsiaTheme="majorEastAsia" w:hAnsiTheme="majorHAnsi" w:cstheme="majorBidi" w:hint="default"/>
      <w:b/>
      <w:bCs/>
      <w:i/>
      <w:iCs/>
      <w:smallCaps/>
      <w:color w:val="BF4E14" w:themeColor="accent2" w:themeShade="BF"/>
      <w:u w:val="single"/>
    </w:rPr>
  </w:style>
  <w:style w:type="character" w:customStyle="1" w:styleId="normaltextrun">
    <w:name w:val="normaltextrun"/>
    <w:basedOn w:val="Standardstycketeckensnitt"/>
    <w:rsid w:val="009A2559"/>
  </w:style>
  <w:style w:type="character" w:customStyle="1" w:styleId="eop">
    <w:name w:val="eop"/>
    <w:basedOn w:val="Standardstycketeckensnitt"/>
    <w:rsid w:val="009A2559"/>
  </w:style>
  <w:style w:type="table" w:styleId="Tabellrutnt">
    <w:name w:val="Table Grid"/>
    <w:basedOn w:val="Normaltabell"/>
    <w:uiPriority w:val="39"/>
    <w:rsid w:val="009A255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a1">
    <w:name w:val="Ingen lista1"/>
    <w:next w:val="Ingenlista"/>
    <w:uiPriority w:val="99"/>
    <w:semiHidden/>
    <w:unhideWhenUsed/>
    <w:rsid w:val="009A2559"/>
  </w:style>
  <w:style w:type="table" w:customStyle="1" w:styleId="Tabellrutnt1">
    <w:name w:val="Tabellrutnät1"/>
    <w:basedOn w:val="Normaltabell"/>
    <w:next w:val="Tabellrutnt"/>
    <w:uiPriority w:val="39"/>
    <w:rsid w:val="009A2559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ell5mrkdekorfrg11">
    <w:name w:val="Listtabell 5 mörk – dekorfärg 11"/>
    <w:basedOn w:val="Normaltabell"/>
    <w:next w:val="Listtabell5mrkdekorfrg1"/>
    <w:uiPriority w:val="50"/>
    <w:rsid w:val="009A2559"/>
    <w:pPr>
      <w:spacing w:after="0" w:line="240" w:lineRule="auto"/>
    </w:pPr>
    <w:rPr>
      <w:rFonts w:ascii="Calibri" w:eastAsia="Times New Roman" w:hAnsi="Calibri" w:cs="Arial"/>
      <w:color w:val="FFFFFF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2254</Words>
  <Characters>11947</Characters>
  <Application>Microsoft Office Word</Application>
  <DocSecurity>4</DocSecurity>
  <Lines>99</Lines>
  <Paragraphs>28</Paragraphs>
  <ScaleCrop>false</ScaleCrop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Hermansson</dc:creator>
  <cp:keywords/>
  <dc:description/>
  <cp:lastModifiedBy>Larsson Victoria</cp:lastModifiedBy>
  <cp:revision>2</cp:revision>
  <dcterms:created xsi:type="dcterms:W3CDTF">2025-09-19T13:16:00Z</dcterms:created>
  <dcterms:modified xsi:type="dcterms:W3CDTF">2025-09-19T13:16:00Z</dcterms:modified>
</cp:coreProperties>
</file>